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b/>
          <w:bCs w:val="0"/>
          <w:sz w:val="44"/>
          <w:szCs w:val="44"/>
        </w:rPr>
      </w:pPr>
      <w:r>
        <w:rPr>
          <w:rFonts w:hint="eastAsia" w:ascii="方正小标宋简体" w:hAnsi="方正小标宋简体" w:eastAsia="方正小标宋简体" w:cs="方正小标宋简体"/>
          <w:b/>
          <w:bCs w:val="0"/>
          <w:sz w:val="44"/>
          <w:szCs w:val="44"/>
        </w:rPr>
        <w:t>数学与计算机学院202</w:t>
      </w:r>
      <w:r>
        <w:rPr>
          <w:rFonts w:hint="eastAsia" w:ascii="方正小标宋简体" w:hAnsi="方正小标宋简体" w:eastAsia="方正小标宋简体" w:cs="方正小标宋简体"/>
          <w:b/>
          <w:bCs w:val="0"/>
          <w:sz w:val="44"/>
          <w:szCs w:val="44"/>
          <w:lang w:val="en-US" w:eastAsia="zh-CN"/>
        </w:rPr>
        <w:t>4</w:t>
      </w:r>
      <w:r>
        <w:rPr>
          <w:rFonts w:hint="eastAsia" w:ascii="方正小标宋简体" w:hAnsi="方正小标宋简体" w:eastAsia="方正小标宋简体" w:cs="方正小标宋简体"/>
          <w:b/>
          <w:bCs w:val="0"/>
          <w:sz w:val="44"/>
          <w:szCs w:val="44"/>
        </w:rPr>
        <w:t>年度工作总结</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黑体" w:hAnsi="黑体" w:eastAsia="黑体" w:cs="黑体"/>
          <w:b/>
          <w:sz w:val="32"/>
          <w:szCs w:val="32"/>
          <w:lang w:eastAsia="zh-CN" w:bidi="ar"/>
        </w:rPr>
      </w:pP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黑体" w:hAnsi="黑体" w:eastAsia="黑体" w:cs="黑体"/>
          <w:b/>
          <w:sz w:val="32"/>
          <w:szCs w:val="32"/>
          <w:lang w:val="en-US" w:eastAsia="zh-CN" w:bidi="ar"/>
        </w:rPr>
      </w:pPr>
      <w:r>
        <w:rPr>
          <w:rFonts w:hint="eastAsia" w:ascii="仿宋_GB2312" w:hAnsi="仿宋_GB2312" w:eastAsia="仿宋_GB2312" w:cs="仿宋_GB2312"/>
          <w:b w:val="0"/>
          <w:bCs w:val="0"/>
          <w:color w:val="auto"/>
          <w:kern w:val="2"/>
          <w:sz w:val="32"/>
          <w:szCs w:val="32"/>
          <w:highlight w:val="none"/>
          <w:lang w:val="en-US" w:eastAsia="zh-CN" w:bidi="ar-SA"/>
        </w:rPr>
        <w:t>根据学校要求，现将数学与计算机学院2024年度工作总结</w:t>
      </w:r>
      <w:bookmarkStart w:id="9" w:name="_GoBack"/>
      <w:bookmarkEnd w:id="9"/>
      <w:r>
        <w:rPr>
          <w:rFonts w:hint="eastAsia" w:ascii="仿宋_GB2312" w:hAnsi="仿宋_GB2312" w:eastAsia="仿宋_GB2312" w:cs="仿宋_GB2312"/>
          <w:b w:val="0"/>
          <w:bCs w:val="0"/>
          <w:color w:val="auto"/>
          <w:kern w:val="2"/>
          <w:sz w:val="32"/>
          <w:szCs w:val="32"/>
          <w:highlight w:val="none"/>
          <w:lang w:val="en-US" w:eastAsia="zh-CN" w:bidi="ar-SA"/>
        </w:rPr>
        <w:t>报告如下。</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黑体" w:hAnsi="黑体" w:eastAsia="黑体" w:cs="黑体"/>
          <w:b/>
          <w:sz w:val="32"/>
          <w:szCs w:val="32"/>
          <w:lang w:val="en-US" w:eastAsia="zh-CN" w:bidi="ar"/>
        </w:rPr>
      </w:pPr>
      <w:r>
        <w:rPr>
          <w:rFonts w:hint="eastAsia" w:ascii="黑体" w:hAnsi="黑体" w:eastAsia="黑体" w:cs="黑体"/>
          <w:b/>
          <w:sz w:val="32"/>
          <w:szCs w:val="32"/>
          <w:lang w:eastAsia="zh-CN" w:bidi="ar"/>
        </w:rPr>
        <w:t>一、</w:t>
      </w:r>
      <w:r>
        <w:rPr>
          <w:rFonts w:hint="eastAsia" w:ascii="黑体" w:hAnsi="黑体" w:eastAsia="黑体" w:cs="黑体"/>
          <w:b/>
          <w:sz w:val="32"/>
          <w:szCs w:val="32"/>
          <w:lang w:val="en-US" w:eastAsia="zh-CN" w:bidi="ar"/>
        </w:rPr>
        <w:t>2024年度工作总结</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（一）党建引领，充分彰显新变化新气象</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bookmarkStart w:id="0" w:name="OLE_LINK2"/>
      <w:r>
        <w:rPr>
          <w:rFonts w:hint="eastAsia" w:ascii="仿宋" w:hAnsi="仿宋" w:eastAsia="仿宋" w:cs="Times New Roman"/>
          <w:b/>
          <w:bCs/>
          <w:sz w:val="32"/>
          <w:szCs w:val="32"/>
          <w:highlight w:val="none"/>
          <w:lang w:val="en-US" w:eastAsia="zh-CN"/>
        </w:rPr>
        <w:t>1.坚持入脑入心，不断强化思想理论武装。</w:t>
      </w:r>
      <w:r>
        <w:rPr>
          <w:rFonts w:hint="eastAsia" w:ascii="仿宋_GB2312" w:hAnsi="仿宋_GB2312" w:eastAsia="仿宋_GB2312" w:cs="仿宋_GB2312"/>
          <w:b w:val="0"/>
          <w:bCs w:val="0"/>
          <w:color w:val="auto"/>
          <w:kern w:val="2"/>
          <w:sz w:val="32"/>
          <w:szCs w:val="32"/>
          <w:highlight w:val="none"/>
          <w:lang w:val="en-US" w:eastAsia="zh-CN" w:bidi="ar-SA"/>
        </w:rPr>
        <w:t>在学校党委的正确领导下，学院始终</w:t>
      </w:r>
      <w:r>
        <w:rPr>
          <w:rFonts w:hint="eastAsia" w:ascii="仿宋_GB2312" w:hAnsi="仿宋_GB2312" w:eastAsia="仿宋_GB2312" w:cs="仿宋_GB2312"/>
          <w:b w:val="0"/>
          <w:bCs w:val="0"/>
          <w:kern w:val="2"/>
          <w:sz w:val="32"/>
          <w:szCs w:val="32"/>
          <w:highlight w:val="none"/>
          <w:lang w:val="en-US" w:eastAsia="zh-CN" w:bidi="ar-SA"/>
        </w:rPr>
        <w:t>坚持以习近平新时代中国特色社会主义思想为指导，深入学习贯彻党的二十大、二十届三中全会会议精神以及省、市重要会议要求，创新学习理念，以学习强素质、提能力、增才干。开展党委理论中心组（扩大）学习会12次、教职工政治理论学习34次、党纪学习教育专题读书班3次，组织主题党日活动10次，出台党建相关制度文件22个。</w:t>
      </w:r>
      <w:bookmarkEnd w:id="0"/>
      <w:r>
        <w:rPr>
          <w:rFonts w:hint="eastAsia" w:ascii="仿宋_GB2312" w:hAnsi="仿宋_GB2312" w:eastAsia="仿宋_GB2312" w:cs="仿宋_GB2312"/>
          <w:b w:val="0"/>
          <w:bCs w:val="0"/>
          <w:kern w:val="2"/>
          <w:sz w:val="32"/>
          <w:szCs w:val="32"/>
          <w:highlight w:val="none"/>
          <w:lang w:val="en-US" w:eastAsia="zh-CN" w:bidi="ar-SA"/>
        </w:rPr>
        <w:t>通过理论学习，进一步统一了全院师生思想，凝聚了心气，增强了自信。</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黑体" w:eastAsia="仿宋_GB2312" w:cs="Arial"/>
          <w:kern w:val="0"/>
          <w:sz w:val="32"/>
          <w:szCs w:val="32"/>
          <w:lang w:eastAsia="zh-CN"/>
        </w:rPr>
      </w:pPr>
      <w:bookmarkStart w:id="1" w:name="OLE_LINK3"/>
      <w:r>
        <w:rPr>
          <w:rFonts w:hint="eastAsia" w:ascii="仿宋" w:hAnsi="仿宋" w:eastAsia="仿宋" w:cs="Times New Roman"/>
          <w:b/>
          <w:bCs/>
          <w:sz w:val="32"/>
          <w:szCs w:val="32"/>
          <w:lang w:val="en-US" w:eastAsia="zh-CN"/>
        </w:rPr>
        <w:t>2.坚持创优创新</w:t>
      </w: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lang w:val="en-US" w:eastAsia="zh-CN"/>
        </w:rPr>
        <w:t>持续提升基层党组织活力。</w:t>
      </w:r>
      <w:r>
        <w:rPr>
          <w:rFonts w:hint="eastAsia" w:ascii="仿宋_GB2312" w:hAnsi="黑体" w:eastAsia="仿宋_GB2312" w:cs="Arial"/>
          <w:kern w:val="0"/>
          <w:sz w:val="32"/>
          <w:szCs w:val="32"/>
          <w:lang w:eastAsia="zh-CN"/>
        </w:rPr>
        <w:t>顺利完成支部换届选举，优化基层党支部组织架构，吸纳更多年轻力量，明确职责分工，</w:t>
      </w:r>
      <w:r>
        <w:rPr>
          <w:rFonts w:hint="eastAsia" w:ascii="仿宋_GB2312" w:hAnsi="黑体" w:eastAsia="仿宋_GB2312" w:cs="Arial"/>
          <w:kern w:val="0"/>
          <w:sz w:val="32"/>
          <w:szCs w:val="32"/>
          <w:lang w:val="en-US" w:eastAsia="zh-CN"/>
        </w:rPr>
        <w:t>提升了党支部的</w:t>
      </w:r>
      <w:r>
        <w:rPr>
          <w:rFonts w:hint="eastAsia" w:ascii="仿宋" w:hAnsi="仿宋" w:eastAsia="仿宋" w:cs="Times New Roman"/>
          <w:b w:val="0"/>
          <w:bCs w:val="0"/>
          <w:sz w:val="32"/>
          <w:szCs w:val="32"/>
          <w:lang w:val="en-US" w:eastAsia="zh-CN"/>
        </w:rPr>
        <w:t>组织力、战斗力、凝聚力</w:t>
      </w:r>
      <w:r>
        <w:rPr>
          <w:rFonts w:hint="eastAsia" w:ascii="仿宋_GB2312" w:hAnsi="黑体" w:eastAsia="仿宋_GB2312" w:cs="Arial"/>
          <w:kern w:val="0"/>
          <w:sz w:val="32"/>
          <w:szCs w:val="32"/>
          <w:lang w:eastAsia="zh-CN"/>
        </w:rPr>
        <w:t>，为党建工作高效推进奠定了坚实基础。积极打造特色党建品牌，激发基层党组织创新活力，计算机科学与技术学系教师党支部通过校级样板支部验收，数学系教师党支部获</w:t>
      </w:r>
      <w:r>
        <w:rPr>
          <w:rFonts w:hint="eastAsia" w:ascii="仿宋_GB2312" w:hAnsi="黑体" w:eastAsia="仿宋_GB2312" w:cs="Arial"/>
          <w:kern w:val="0"/>
          <w:sz w:val="32"/>
          <w:szCs w:val="32"/>
          <w:lang w:val="en-US" w:eastAsia="zh-CN"/>
        </w:rPr>
        <w:t>批</w:t>
      </w:r>
      <w:r>
        <w:rPr>
          <w:rFonts w:hint="eastAsia" w:ascii="仿宋_GB2312" w:hAnsi="黑体" w:eastAsia="仿宋_GB2312" w:cs="Arial"/>
          <w:kern w:val="0"/>
          <w:sz w:val="32"/>
          <w:szCs w:val="32"/>
          <w:lang w:eastAsia="zh-CN"/>
        </w:rPr>
        <w:t>校级样板支部。严格遵循党员发展标准，确立学生入党积极分子84名，发展学生党员46名，</w:t>
      </w:r>
      <w:r>
        <w:rPr>
          <w:rFonts w:hint="eastAsia" w:ascii="仿宋_GB2312" w:hAnsi="黑体" w:eastAsia="仿宋_GB2312" w:cs="Arial"/>
          <w:kern w:val="0"/>
          <w:sz w:val="32"/>
          <w:szCs w:val="32"/>
          <w:lang w:val="en-US" w:eastAsia="zh-CN"/>
        </w:rPr>
        <w:t>师生</w:t>
      </w:r>
      <w:r>
        <w:rPr>
          <w:rFonts w:hint="eastAsia" w:ascii="仿宋_GB2312" w:hAnsi="黑体" w:eastAsia="仿宋_GB2312" w:cs="Arial"/>
          <w:kern w:val="0"/>
          <w:sz w:val="32"/>
          <w:szCs w:val="32"/>
          <w:lang w:eastAsia="zh-CN"/>
        </w:rPr>
        <w:t>预备党员转正3</w:t>
      </w:r>
      <w:r>
        <w:rPr>
          <w:rFonts w:hint="eastAsia" w:ascii="仿宋_GB2312" w:hAnsi="黑体" w:eastAsia="仿宋_GB2312" w:cs="Arial"/>
          <w:kern w:val="0"/>
          <w:sz w:val="32"/>
          <w:szCs w:val="32"/>
          <w:lang w:val="en-US" w:eastAsia="zh-CN"/>
        </w:rPr>
        <w:t>2</w:t>
      </w:r>
      <w:r>
        <w:rPr>
          <w:rFonts w:hint="eastAsia" w:ascii="仿宋_GB2312" w:hAnsi="黑体" w:eastAsia="仿宋_GB2312" w:cs="Arial"/>
          <w:kern w:val="0"/>
          <w:sz w:val="32"/>
          <w:szCs w:val="32"/>
          <w:lang w:eastAsia="zh-CN"/>
        </w:rPr>
        <w:t>名。</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Times New Roman"/>
          <w:sz w:val="32"/>
          <w:szCs w:val="32"/>
          <w:lang w:val="en-US" w:eastAsia="zh-CN"/>
        </w:rPr>
      </w:pPr>
      <w:r>
        <w:rPr>
          <w:rFonts w:hint="eastAsia" w:ascii="仿宋_GB2312" w:hAnsi="黑体" w:eastAsia="仿宋_GB2312" w:cs="Arial"/>
          <w:kern w:val="0"/>
          <w:sz w:val="32"/>
          <w:szCs w:val="32"/>
          <w:lang w:val="en-US" w:eastAsia="zh-CN"/>
        </w:rPr>
        <w:t>3.</w:t>
      </w:r>
      <w:r>
        <w:rPr>
          <w:rFonts w:hint="eastAsia" w:ascii="仿宋" w:hAnsi="仿宋" w:eastAsia="仿宋" w:cs="Times New Roman"/>
          <w:b/>
          <w:bCs/>
          <w:sz w:val="32"/>
          <w:szCs w:val="32"/>
          <w:lang w:val="en-US" w:eastAsia="zh-CN"/>
        </w:rPr>
        <w:t>坚持有力有效，不断强化宣传思想和意识形态工作。</w:t>
      </w:r>
      <w:r>
        <w:rPr>
          <w:rFonts w:hint="eastAsia" w:ascii="仿宋_GB2312" w:hAnsi="黑体" w:eastAsia="仿宋_GB2312" w:cs="Arial"/>
          <w:kern w:val="0"/>
          <w:sz w:val="32"/>
          <w:szCs w:val="32"/>
          <w:lang w:val="en-US" w:eastAsia="zh-CN"/>
        </w:rPr>
        <w:t>加强</w:t>
      </w:r>
      <w:r>
        <w:rPr>
          <w:rFonts w:hint="eastAsia" w:ascii="仿宋_GB2312" w:hAnsi="黑体" w:eastAsia="仿宋_GB2312" w:cs="Arial"/>
          <w:kern w:val="0"/>
          <w:sz w:val="32"/>
          <w:szCs w:val="32"/>
          <w:lang w:eastAsia="zh-CN"/>
        </w:rPr>
        <w:t>宣传文化建设，构建学院的制度文化、环境文化和精神文化，完善网站平台，</w:t>
      </w:r>
      <w:r>
        <w:rPr>
          <w:rFonts w:hint="eastAsia" w:ascii="仿宋_GB2312" w:hAnsi="黑体" w:eastAsia="仿宋_GB2312" w:cs="Arial"/>
          <w:kern w:val="0"/>
          <w:sz w:val="32"/>
          <w:szCs w:val="32"/>
          <w:lang w:val="en-US" w:eastAsia="zh-CN"/>
        </w:rPr>
        <w:t>凝练“明理求实 笃行致远”院训，</w:t>
      </w:r>
      <w:r>
        <w:rPr>
          <w:rFonts w:hint="eastAsia" w:ascii="仿宋_GB2312" w:hAnsi="黑体" w:eastAsia="仿宋_GB2312" w:cs="Arial"/>
          <w:kern w:val="0"/>
          <w:sz w:val="32"/>
          <w:szCs w:val="32"/>
          <w:lang w:eastAsia="zh-CN"/>
        </w:rPr>
        <w:t>设计</w:t>
      </w:r>
      <w:r>
        <w:rPr>
          <w:rFonts w:hint="eastAsia" w:ascii="仿宋_GB2312" w:hAnsi="黑体" w:eastAsia="仿宋_GB2312" w:cs="Arial"/>
          <w:kern w:val="0"/>
          <w:sz w:val="32"/>
          <w:szCs w:val="32"/>
          <w:lang w:val="en-US" w:eastAsia="zh-CN"/>
        </w:rPr>
        <w:t>学院标识</w:t>
      </w:r>
      <w:r>
        <w:rPr>
          <w:rFonts w:hint="eastAsia" w:ascii="仿宋_GB2312" w:hAnsi="黑体" w:eastAsia="仿宋_GB2312" w:cs="Arial"/>
          <w:kern w:val="0"/>
          <w:sz w:val="32"/>
          <w:szCs w:val="32"/>
          <w:lang w:eastAsia="zh-CN"/>
        </w:rPr>
        <w:t>，提升学院</w:t>
      </w:r>
      <w:r>
        <w:rPr>
          <w:rFonts w:hint="eastAsia" w:ascii="仿宋_GB2312" w:hAnsi="黑体" w:eastAsia="仿宋_GB2312" w:cs="Arial"/>
          <w:kern w:val="0"/>
          <w:sz w:val="32"/>
          <w:szCs w:val="32"/>
          <w:lang w:val="en-US" w:eastAsia="zh-CN"/>
        </w:rPr>
        <w:t>形象，提高</w:t>
      </w:r>
      <w:r>
        <w:rPr>
          <w:rFonts w:hint="eastAsia" w:ascii="仿宋_GB2312" w:hAnsi="黑体" w:eastAsia="仿宋_GB2312" w:cs="Arial"/>
          <w:kern w:val="0"/>
          <w:sz w:val="32"/>
          <w:szCs w:val="32"/>
          <w:lang w:eastAsia="zh-CN"/>
        </w:rPr>
        <w:t>宣传</w:t>
      </w:r>
      <w:r>
        <w:rPr>
          <w:rFonts w:hint="eastAsia" w:ascii="仿宋_GB2312" w:hAnsi="黑体" w:eastAsia="仿宋_GB2312" w:cs="Arial"/>
          <w:kern w:val="0"/>
          <w:sz w:val="32"/>
          <w:szCs w:val="32"/>
          <w:lang w:val="en-US" w:eastAsia="zh-CN"/>
        </w:rPr>
        <w:t>效果</w:t>
      </w:r>
      <w:r>
        <w:rPr>
          <w:rFonts w:hint="eastAsia" w:ascii="仿宋_GB2312" w:hAnsi="黑体" w:eastAsia="仿宋_GB2312" w:cs="Arial"/>
          <w:kern w:val="0"/>
          <w:sz w:val="32"/>
          <w:szCs w:val="32"/>
          <w:lang w:eastAsia="zh-CN"/>
        </w:rPr>
        <w:t>，增强师生认同感、</w:t>
      </w:r>
      <w:r>
        <w:rPr>
          <w:rFonts w:hint="eastAsia" w:ascii="仿宋_GB2312" w:hAnsi="黑体" w:eastAsia="仿宋_GB2312" w:cs="Arial"/>
          <w:kern w:val="0"/>
          <w:sz w:val="32"/>
          <w:szCs w:val="32"/>
          <w:lang w:val="en-US" w:eastAsia="zh-CN"/>
        </w:rPr>
        <w:t>归属感，形成</w:t>
      </w:r>
      <w:r>
        <w:rPr>
          <w:rFonts w:hint="eastAsia" w:ascii="仿宋_GB2312" w:hAnsi="黑体" w:eastAsia="仿宋_GB2312" w:cs="Arial"/>
          <w:kern w:val="0"/>
          <w:sz w:val="32"/>
          <w:szCs w:val="32"/>
          <w:lang w:eastAsia="zh-CN"/>
        </w:rPr>
        <w:t>良好院风、教风和学风。</w:t>
      </w:r>
      <w:bookmarkEnd w:id="1"/>
      <w:bookmarkStart w:id="2" w:name="OLE_LINK11"/>
      <w:r>
        <w:rPr>
          <w:rFonts w:hint="eastAsia" w:ascii="仿宋" w:hAnsi="仿宋" w:eastAsia="仿宋" w:cs="Times New Roman"/>
          <w:b w:val="0"/>
          <w:bCs w:val="0"/>
          <w:sz w:val="32"/>
          <w:szCs w:val="32"/>
          <w:lang w:val="en-US" w:eastAsia="zh-CN"/>
        </w:rPr>
        <w:t>全力抓好</w:t>
      </w:r>
      <w:bookmarkStart w:id="3" w:name="OLE_LINK10"/>
      <w:r>
        <w:rPr>
          <w:rFonts w:hint="eastAsia" w:ascii="仿宋" w:hAnsi="仿宋" w:eastAsia="仿宋" w:cs="Times New Roman"/>
          <w:b w:val="0"/>
          <w:bCs w:val="0"/>
          <w:sz w:val="32"/>
          <w:szCs w:val="32"/>
          <w:lang w:val="en-US" w:eastAsia="zh-CN"/>
        </w:rPr>
        <w:t>意识形态</w:t>
      </w:r>
      <w:bookmarkEnd w:id="3"/>
      <w:r>
        <w:rPr>
          <w:rFonts w:hint="eastAsia" w:ascii="仿宋" w:hAnsi="仿宋" w:eastAsia="仿宋" w:cs="Times New Roman"/>
          <w:b w:val="0"/>
          <w:bCs w:val="0"/>
          <w:sz w:val="32"/>
          <w:szCs w:val="32"/>
          <w:lang w:val="en-US" w:eastAsia="zh-CN"/>
        </w:rPr>
        <w:t>工作责任制落实，</w:t>
      </w:r>
      <w:r>
        <w:rPr>
          <w:rFonts w:hint="eastAsia" w:ascii="仿宋" w:hAnsi="仿宋" w:eastAsia="仿宋" w:cs="Times New Roman"/>
          <w:sz w:val="32"/>
          <w:szCs w:val="32"/>
          <w:lang w:val="en-US" w:eastAsia="zh-CN"/>
        </w:rPr>
        <w:t>成立了意识形态工作领导小组，完善和落实</w:t>
      </w:r>
      <w:r>
        <w:rPr>
          <w:rFonts w:hint="eastAsia" w:ascii="仿宋" w:hAnsi="仿宋" w:eastAsia="仿宋" w:cs="Times New Roman"/>
          <w:b w:val="0"/>
          <w:bCs w:val="0"/>
          <w:sz w:val="32"/>
          <w:szCs w:val="32"/>
          <w:lang w:val="en-US" w:eastAsia="zh-CN"/>
        </w:rPr>
        <w:t>意识形态</w:t>
      </w:r>
      <w:r>
        <w:rPr>
          <w:rFonts w:hint="eastAsia" w:ascii="仿宋" w:hAnsi="仿宋" w:eastAsia="仿宋" w:cs="Times New Roman"/>
          <w:sz w:val="32"/>
          <w:szCs w:val="32"/>
          <w:lang w:val="en-US" w:eastAsia="zh-CN"/>
        </w:rPr>
        <w:t>相关制度。守好网络阵地，加强新媒体建设、管理和运用，审核发稿507篇，严管严控网络群组，未出现敏感事件。守好教学阵地，坚持正确政治导向，强化课堂管理，发挥课程德育功能，培育了一批思政功能明显的示范专业课程，获校级课程思政示范专业1个、校级课程思政示范课程2门。守好科研阵地，规范学术诚信，加强学习教育，未出现学术不端等问题，举办学术交流活动20场次，未发生意识形态方面问题。</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b w:val="0"/>
          <w:bCs w:val="0"/>
          <w:color w:val="auto"/>
          <w:sz w:val="32"/>
          <w:szCs w:val="32"/>
          <w:highlight w:val="none"/>
          <w:lang w:val="en-US" w:eastAsia="zh-CN"/>
        </w:rPr>
      </w:pPr>
      <w:r>
        <w:rPr>
          <w:rFonts w:hint="eastAsia" w:ascii="仿宋_GB2312" w:hAnsi="黑体" w:eastAsia="仿宋_GB2312" w:cs="Arial"/>
          <w:kern w:val="0"/>
          <w:sz w:val="32"/>
          <w:szCs w:val="32"/>
          <w:lang w:val="en-US" w:eastAsia="zh-CN"/>
        </w:rPr>
        <w:t>4.</w:t>
      </w:r>
      <w:r>
        <w:rPr>
          <w:rFonts w:hint="eastAsia" w:ascii="仿宋_GB2312" w:hAnsi="仿宋_GB2312" w:eastAsia="仿宋_GB2312"/>
          <w:b/>
          <w:bCs/>
          <w:color w:val="auto"/>
          <w:sz w:val="32"/>
          <w:szCs w:val="32"/>
          <w:highlight w:val="none"/>
          <w:lang w:val="en-US" w:eastAsia="zh-CN"/>
        </w:rPr>
        <w:t>坚持走深走实，扎实开展党纪学习教育。</w:t>
      </w:r>
      <w:r>
        <w:rPr>
          <w:rFonts w:hint="eastAsia" w:ascii="仿宋_GB2312" w:hAnsi="仿宋_GB2312" w:eastAsia="仿宋_GB2312"/>
          <w:b w:val="0"/>
          <w:bCs w:val="0"/>
          <w:color w:val="auto"/>
          <w:sz w:val="32"/>
          <w:szCs w:val="32"/>
          <w:highlight w:val="none"/>
          <w:lang w:val="en-US" w:eastAsia="zh-CN"/>
        </w:rPr>
        <w:t>以学习贯彻《中国共产党纪律处分条例》为重点，邀请学校计财处专家开展财经纪律专题辅导，组织党员干部赴云和麻垟村知青馆、十里清风清廉主题公园、浙西南革命纪念馆、学校“四清”茶文化基地等开展实践活动，开展实地参观、现场教学，观看警示教育片，不断深化党纪学习教育成效。落实党委理论学习中心组每月学习、党支部每月主题党日活动和教职工每周理论学习，利用“学习强国”平台和干部网络学习等方式，确保党纪教育常态化、长效化。通过扎实开展党纪学习教育，学院党员干部将学习成果转化为推动全面从严治党向纵深发展的实际成效。</w:t>
      </w:r>
    </w:p>
    <w:bookmarkEnd w:id="2"/>
    <w:p>
      <w:pPr>
        <w:pStyle w:val="2"/>
        <w:keepNext w:val="0"/>
        <w:keepLines w:val="0"/>
        <w:pageBreakBefore w:val="0"/>
        <w:kinsoku/>
        <w:wordWrap/>
        <w:overflowPunct/>
        <w:topLinePunct w:val="0"/>
        <w:autoSpaceDE/>
        <w:autoSpaceDN/>
        <w:bidi w:val="0"/>
        <w:adjustRightInd/>
        <w:snapToGrid/>
        <w:spacing w:line="540" w:lineRule="exact"/>
        <w:ind w:firstLine="643"/>
        <w:jc w:val="both"/>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val="en-US" w:eastAsia="zh-CN"/>
        </w:rPr>
        <w:t>二</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val="en-US" w:eastAsia="zh-CN"/>
        </w:rPr>
        <w:t>聚焦</w:t>
      </w:r>
      <w:r>
        <w:rPr>
          <w:rFonts w:hint="eastAsia" w:ascii="楷体" w:hAnsi="楷体" w:eastAsia="楷体" w:cs="楷体"/>
          <w:b/>
          <w:bCs/>
          <w:color w:val="auto"/>
          <w:sz w:val="32"/>
          <w:szCs w:val="32"/>
          <w:highlight w:val="none"/>
        </w:rPr>
        <w:t>内涵，全力</w:t>
      </w:r>
      <w:r>
        <w:rPr>
          <w:rFonts w:hint="eastAsia" w:ascii="楷体" w:hAnsi="楷体" w:eastAsia="楷体" w:cs="楷体"/>
          <w:b/>
          <w:bCs/>
          <w:color w:val="auto"/>
          <w:sz w:val="32"/>
          <w:szCs w:val="32"/>
          <w:highlight w:val="none"/>
          <w:lang w:val="en-US" w:eastAsia="zh-CN"/>
        </w:rPr>
        <w:t>提升</w:t>
      </w:r>
      <w:r>
        <w:rPr>
          <w:rFonts w:hint="eastAsia" w:ascii="楷体" w:hAnsi="楷体" w:eastAsia="楷体" w:cs="楷体"/>
          <w:b/>
          <w:bCs/>
          <w:color w:val="auto"/>
          <w:sz w:val="32"/>
          <w:szCs w:val="32"/>
          <w:highlight w:val="none"/>
        </w:rPr>
        <w:t>高质量人才培养</w:t>
      </w:r>
      <w:r>
        <w:rPr>
          <w:rFonts w:hint="eastAsia" w:ascii="楷体" w:hAnsi="楷体" w:eastAsia="楷体" w:cs="楷体"/>
          <w:b/>
          <w:bCs/>
          <w:color w:val="auto"/>
          <w:sz w:val="32"/>
          <w:szCs w:val="32"/>
          <w:highlight w:val="none"/>
          <w:lang w:val="en-US" w:eastAsia="zh-CN"/>
        </w:rPr>
        <w:t>质量</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rPr>
      </w:pPr>
      <w:r>
        <w:rPr>
          <w:rFonts w:hint="eastAsia" w:ascii="仿宋_GB2312" w:hAnsi="仿宋_GB2312" w:eastAsia="仿宋_GB2312"/>
          <w:b/>
          <w:bCs/>
          <w:kern w:val="0"/>
          <w:sz w:val="32"/>
          <w:szCs w:val="32"/>
          <w:lang w:val="en-US" w:eastAsia="zh-CN"/>
        </w:rPr>
        <w:t>1.</w:t>
      </w:r>
      <w:r>
        <w:rPr>
          <w:rFonts w:hint="eastAsia" w:ascii="仿宋_GB2312" w:hAnsi="仿宋_GB2312" w:eastAsia="仿宋_GB2312"/>
          <w:b/>
          <w:bCs/>
          <w:kern w:val="0"/>
          <w:sz w:val="32"/>
          <w:szCs w:val="32"/>
        </w:rPr>
        <w:t>持续深化专业内涵建设。加强一流专业建设</w:t>
      </w:r>
      <w:r>
        <w:rPr>
          <w:rFonts w:hint="eastAsia" w:ascii="仿宋_GB2312" w:hAnsi="仿宋_GB2312" w:eastAsia="仿宋_GB2312"/>
          <w:b w:val="0"/>
          <w:bCs w:val="0"/>
          <w:kern w:val="0"/>
          <w:sz w:val="32"/>
          <w:szCs w:val="32"/>
        </w:rPr>
        <w:t>，以工程教育认证为抓手，持续提升国家一流专业</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计算机科学与技术</w:t>
      </w:r>
      <w:r>
        <w:rPr>
          <w:rFonts w:hint="eastAsia" w:ascii="仿宋_GB2312" w:hAnsi="仿宋_GB2312" w:eastAsia="仿宋_GB2312"/>
          <w:b w:val="0"/>
          <w:bCs w:val="0"/>
          <w:kern w:val="0"/>
          <w:sz w:val="32"/>
          <w:szCs w:val="32"/>
          <w:lang w:val="en-US" w:eastAsia="zh-CN"/>
        </w:rPr>
        <w:t>专业</w:t>
      </w:r>
      <w:r>
        <w:rPr>
          <w:rFonts w:hint="eastAsia" w:ascii="仿宋_GB2312" w:hAnsi="仿宋_GB2312" w:eastAsia="仿宋_GB2312"/>
          <w:b w:val="0"/>
          <w:bCs w:val="0"/>
          <w:kern w:val="0"/>
          <w:sz w:val="32"/>
          <w:szCs w:val="32"/>
        </w:rPr>
        <w:t>建设水平</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获批数学与应用数学（师范）和数字媒体技术2个省级一流本科专业培育项目</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完成人工智能</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应用统计学2个新专业预申报备案</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lang w:val="en-US" w:eastAsia="zh-CN"/>
        </w:rPr>
        <w:t>制定实施</w:t>
      </w:r>
      <w:r>
        <w:rPr>
          <w:rFonts w:hint="eastAsia" w:ascii="仿宋_GB2312" w:hAnsi="仿宋_GB2312" w:eastAsia="仿宋_GB2312"/>
          <w:b w:val="0"/>
          <w:bCs w:val="0"/>
          <w:kern w:val="0"/>
          <w:sz w:val="32"/>
          <w:szCs w:val="32"/>
        </w:rPr>
        <w:t>“人工智能+”微专业建设方案。</w:t>
      </w:r>
      <w:r>
        <w:rPr>
          <w:rFonts w:hint="eastAsia" w:ascii="仿宋_GB2312" w:hAnsi="仿宋_GB2312" w:eastAsia="仿宋_GB2312"/>
          <w:b/>
          <w:bCs/>
          <w:kern w:val="0"/>
          <w:sz w:val="32"/>
          <w:szCs w:val="32"/>
        </w:rPr>
        <w:t>开展人工智能通识课建设，</w:t>
      </w:r>
      <w:r>
        <w:rPr>
          <w:rFonts w:hint="eastAsia" w:ascii="仿宋_GB2312" w:hAnsi="仿宋_GB2312" w:eastAsia="仿宋_GB2312"/>
          <w:b w:val="0"/>
          <w:bCs w:val="0"/>
          <w:kern w:val="0"/>
          <w:sz w:val="32"/>
          <w:szCs w:val="32"/>
        </w:rPr>
        <w:t>培养具备跨学科知识和人工智能技能的人才。</w:t>
      </w:r>
      <w:r>
        <w:rPr>
          <w:rFonts w:hint="eastAsia" w:ascii="仿宋_GB2312" w:hAnsi="仿宋_GB2312" w:eastAsia="仿宋_GB2312"/>
          <w:b/>
          <w:bCs/>
          <w:kern w:val="0"/>
          <w:sz w:val="32"/>
          <w:szCs w:val="32"/>
        </w:rPr>
        <w:t>持续推进教材建设</w:t>
      </w:r>
      <w:r>
        <w:rPr>
          <w:rFonts w:hint="eastAsia" w:ascii="仿宋_GB2312" w:hAnsi="仿宋_GB2312" w:eastAsia="仿宋_GB2312"/>
          <w:b w:val="0"/>
          <w:bCs w:val="0"/>
          <w:kern w:val="0"/>
          <w:sz w:val="32"/>
          <w:szCs w:val="32"/>
        </w:rPr>
        <w:t>，成功入选浙江省“十四五”普通高等教育本科规划教材2部，浙江省普通本科高校通识教育教材1部。</w:t>
      </w:r>
      <w:r>
        <w:rPr>
          <w:rFonts w:hint="eastAsia" w:ascii="仿宋_GB2312" w:hAnsi="仿宋_GB2312" w:eastAsia="仿宋_GB2312"/>
          <w:b/>
          <w:bCs/>
          <w:kern w:val="0"/>
          <w:sz w:val="32"/>
          <w:szCs w:val="32"/>
        </w:rPr>
        <w:t>深化产教融合</w:t>
      </w:r>
      <w:r>
        <w:rPr>
          <w:rFonts w:hint="eastAsia" w:ascii="仿宋_GB2312" w:hAnsi="仿宋_GB2312" w:eastAsia="仿宋_GB2312"/>
          <w:b w:val="0"/>
          <w:bCs w:val="0"/>
          <w:kern w:val="0"/>
          <w:sz w:val="32"/>
          <w:szCs w:val="32"/>
        </w:rPr>
        <w:t>，</w:t>
      </w:r>
      <w:r>
        <w:rPr>
          <w:rFonts w:hint="eastAsia" w:ascii="仿宋_GB2312" w:hAnsi="仿宋_GB2312" w:eastAsia="仿宋_GB2312"/>
          <w:b w:val="0"/>
          <w:bCs w:val="0"/>
          <w:kern w:val="0"/>
          <w:sz w:val="32"/>
          <w:szCs w:val="32"/>
          <w:lang w:val="en-US" w:eastAsia="zh-CN"/>
        </w:rPr>
        <w:t>推进</w:t>
      </w:r>
      <w:r>
        <w:rPr>
          <w:rFonts w:hint="eastAsia" w:ascii="仿宋_GB2312" w:hAnsi="仿宋_GB2312" w:eastAsia="仿宋_GB2312"/>
          <w:b w:val="0"/>
          <w:bCs w:val="0"/>
          <w:kern w:val="0"/>
          <w:sz w:val="32"/>
          <w:szCs w:val="32"/>
        </w:rPr>
        <w:t>产业学院建设，与IT头部企业深度合作，成功申报市级产教融合平台2个。</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rPr>
      </w:pPr>
      <w:r>
        <w:rPr>
          <w:rFonts w:hint="eastAsia" w:ascii="仿宋_GB2312" w:hAnsi="仿宋_GB2312" w:eastAsia="仿宋_GB2312"/>
          <w:b/>
          <w:bCs/>
          <w:kern w:val="0"/>
          <w:sz w:val="32"/>
          <w:szCs w:val="32"/>
          <w:lang w:val="en-US" w:eastAsia="zh-CN"/>
        </w:rPr>
        <w:t>2.</w:t>
      </w:r>
      <w:r>
        <w:rPr>
          <w:rFonts w:hint="eastAsia" w:ascii="仿宋_GB2312" w:hAnsi="仿宋_GB2312" w:eastAsia="仿宋_GB2312"/>
          <w:b/>
          <w:bCs/>
          <w:kern w:val="0"/>
          <w:sz w:val="32"/>
          <w:szCs w:val="32"/>
        </w:rPr>
        <w:t>全面优化教学管理体系。完善学院监督保障体系</w:t>
      </w:r>
      <w:r>
        <w:rPr>
          <w:rFonts w:hint="eastAsia" w:ascii="仿宋_GB2312" w:hAnsi="仿宋_GB2312" w:eastAsia="仿宋_GB2312"/>
          <w:b w:val="0"/>
          <w:bCs w:val="0"/>
          <w:kern w:val="0"/>
          <w:sz w:val="32"/>
          <w:szCs w:val="32"/>
        </w:rPr>
        <w:t>，教学督导定期听课</w:t>
      </w:r>
      <w:r>
        <w:rPr>
          <w:rFonts w:hint="eastAsia" w:ascii="仿宋_GB2312" w:hAnsi="仿宋_GB2312" w:eastAsia="仿宋_GB2312"/>
          <w:b w:val="0"/>
          <w:bCs w:val="0"/>
          <w:kern w:val="0"/>
          <w:sz w:val="32"/>
          <w:szCs w:val="32"/>
          <w:lang w:val="en-US" w:eastAsia="zh-CN"/>
        </w:rPr>
        <w:t>评课</w:t>
      </w:r>
      <w:r>
        <w:rPr>
          <w:rFonts w:hint="eastAsia" w:ascii="仿宋_GB2312" w:hAnsi="仿宋_GB2312" w:eastAsia="仿宋_GB2312"/>
          <w:b w:val="0"/>
          <w:bCs w:val="0"/>
          <w:kern w:val="0"/>
          <w:sz w:val="32"/>
          <w:szCs w:val="32"/>
        </w:rPr>
        <w:t>113人次，改进教学方法，提升教学质量。</w:t>
      </w:r>
      <w:r>
        <w:rPr>
          <w:rFonts w:hint="eastAsia" w:ascii="仿宋_GB2312" w:hAnsi="仿宋_GB2312" w:eastAsia="仿宋_GB2312"/>
          <w:b/>
          <w:bCs/>
          <w:kern w:val="0"/>
          <w:sz w:val="32"/>
          <w:szCs w:val="32"/>
          <w:lang w:val="en-US" w:eastAsia="zh-CN"/>
        </w:rPr>
        <w:t>发挥</w:t>
      </w:r>
      <w:r>
        <w:rPr>
          <w:rFonts w:hint="eastAsia" w:ascii="仿宋_GB2312" w:hAnsi="仿宋_GB2312" w:eastAsia="仿宋_GB2312"/>
          <w:b/>
          <w:bCs/>
          <w:kern w:val="0"/>
          <w:sz w:val="32"/>
          <w:szCs w:val="32"/>
        </w:rPr>
        <w:t>基层教学组织功能，</w:t>
      </w:r>
      <w:r>
        <w:rPr>
          <w:rFonts w:hint="eastAsia" w:ascii="仿宋_GB2312" w:hAnsi="仿宋_GB2312" w:eastAsia="仿宋_GB2312"/>
          <w:b w:val="0"/>
          <w:bCs w:val="0"/>
          <w:kern w:val="0"/>
          <w:sz w:val="32"/>
          <w:szCs w:val="32"/>
        </w:rPr>
        <w:t>量化考核标准，提升教研活动</w:t>
      </w:r>
      <w:r>
        <w:rPr>
          <w:rFonts w:hint="eastAsia" w:ascii="仿宋_GB2312" w:hAnsi="仿宋_GB2312" w:eastAsia="仿宋_GB2312"/>
          <w:b w:val="0"/>
          <w:bCs w:val="0"/>
          <w:kern w:val="0"/>
          <w:sz w:val="32"/>
          <w:szCs w:val="32"/>
          <w:lang w:val="en-US" w:eastAsia="zh-CN"/>
        </w:rPr>
        <w:t>内涵</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组织</w:t>
      </w:r>
      <w:r>
        <w:rPr>
          <w:rFonts w:hint="eastAsia" w:ascii="仿宋_GB2312" w:hAnsi="仿宋_GB2312" w:eastAsia="仿宋_GB2312"/>
          <w:b w:val="0"/>
          <w:bCs w:val="0"/>
          <w:color w:val="auto"/>
          <w:kern w:val="0"/>
          <w:sz w:val="32"/>
          <w:szCs w:val="32"/>
        </w:rPr>
        <w:t>教研</w:t>
      </w:r>
      <w:r>
        <w:rPr>
          <w:rFonts w:hint="eastAsia" w:ascii="仿宋_GB2312" w:hAnsi="仿宋_GB2312" w:eastAsia="仿宋_GB2312"/>
          <w:b w:val="0"/>
          <w:bCs w:val="0"/>
          <w:kern w:val="0"/>
          <w:sz w:val="32"/>
          <w:szCs w:val="32"/>
        </w:rPr>
        <w:t>活动</w:t>
      </w:r>
      <w:r>
        <w:rPr>
          <w:rFonts w:hint="eastAsia" w:ascii="仿宋_GB2312" w:hAnsi="仿宋_GB2312" w:eastAsia="仿宋_GB2312"/>
          <w:b w:val="0"/>
          <w:bCs w:val="0"/>
          <w:color w:val="auto"/>
          <w:kern w:val="0"/>
          <w:sz w:val="32"/>
          <w:szCs w:val="32"/>
        </w:rPr>
        <w:t>45场</w:t>
      </w:r>
      <w:r>
        <w:rPr>
          <w:rFonts w:hint="eastAsia" w:ascii="仿宋_GB2312" w:hAnsi="仿宋_GB2312" w:eastAsia="仿宋_GB2312"/>
          <w:b w:val="0"/>
          <w:bCs w:val="0"/>
          <w:kern w:val="0"/>
          <w:sz w:val="32"/>
          <w:szCs w:val="32"/>
        </w:rPr>
        <w:t>，举办示范课</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公开课20次。</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rPr>
      </w:pPr>
      <w:r>
        <w:rPr>
          <w:rFonts w:hint="eastAsia" w:ascii="仿宋_GB2312" w:hAnsi="仿宋_GB2312" w:eastAsia="仿宋_GB2312"/>
          <w:b/>
          <w:bCs/>
          <w:kern w:val="0"/>
          <w:sz w:val="32"/>
          <w:szCs w:val="32"/>
          <w:lang w:val="en-US" w:eastAsia="zh-CN"/>
        </w:rPr>
        <w:t>3.不断</w:t>
      </w:r>
      <w:r>
        <w:rPr>
          <w:rFonts w:hint="eastAsia" w:ascii="仿宋_GB2312" w:hAnsi="仿宋_GB2312" w:eastAsia="仿宋_GB2312"/>
          <w:b/>
          <w:bCs/>
          <w:kern w:val="0"/>
          <w:sz w:val="32"/>
          <w:szCs w:val="32"/>
        </w:rPr>
        <w:t>提升</w:t>
      </w:r>
      <w:r>
        <w:rPr>
          <w:rFonts w:hint="eastAsia" w:ascii="仿宋_GB2312" w:hAnsi="仿宋_GB2312" w:eastAsia="仿宋_GB2312"/>
          <w:b/>
          <w:bCs/>
          <w:kern w:val="0"/>
          <w:sz w:val="32"/>
          <w:szCs w:val="32"/>
          <w:lang w:val="en-US" w:eastAsia="zh-CN"/>
        </w:rPr>
        <w:t>教育</w:t>
      </w:r>
      <w:r>
        <w:rPr>
          <w:rFonts w:hint="eastAsia" w:ascii="仿宋_GB2312" w:hAnsi="仿宋_GB2312" w:eastAsia="仿宋_GB2312"/>
          <w:b/>
          <w:bCs/>
          <w:color w:val="auto"/>
          <w:kern w:val="0"/>
          <w:sz w:val="32"/>
          <w:szCs w:val="32"/>
        </w:rPr>
        <w:t>教学</w:t>
      </w:r>
      <w:r>
        <w:rPr>
          <w:rFonts w:hint="eastAsia" w:ascii="仿宋_GB2312" w:hAnsi="仿宋_GB2312" w:eastAsia="仿宋_GB2312"/>
          <w:b/>
          <w:bCs/>
          <w:color w:val="auto"/>
          <w:kern w:val="0"/>
          <w:sz w:val="32"/>
          <w:szCs w:val="32"/>
          <w:lang w:eastAsia="zh-CN"/>
        </w:rPr>
        <w:t>成效</w:t>
      </w:r>
      <w:r>
        <w:rPr>
          <w:rFonts w:hint="eastAsia" w:ascii="仿宋_GB2312" w:hAnsi="仿宋_GB2312" w:eastAsia="仿宋_GB2312"/>
          <w:b/>
          <w:bCs/>
          <w:kern w:val="0"/>
          <w:sz w:val="32"/>
          <w:szCs w:val="32"/>
        </w:rPr>
        <w:t>。</w:t>
      </w:r>
      <w:r>
        <w:rPr>
          <w:rFonts w:hint="eastAsia" w:ascii="仿宋_GB2312" w:hAnsi="仿宋_GB2312" w:eastAsia="仿宋_GB2312"/>
          <w:b/>
          <w:bCs/>
          <w:kern w:val="0"/>
          <w:sz w:val="32"/>
          <w:szCs w:val="32"/>
          <w:lang w:val="en-US" w:eastAsia="zh-CN"/>
        </w:rPr>
        <w:t>教学改革</w:t>
      </w:r>
      <w:r>
        <w:rPr>
          <w:rFonts w:hint="eastAsia" w:ascii="仿宋_GB2312" w:hAnsi="仿宋_GB2312" w:eastAsia="仿宋_GB2312"/>
          <w:b/>
          <w:bCs/>
          <w:kern w:val="0"/>
          <w:sz w:val="32"/>
          <w:szCs w:val="32"/>
        </w:rPr>
        <w:t>成效显著，</w:t>
      </w:r>
      <w:r>
        <w:rPr>
          <w:rFonts w:hint="eastAsia" w:ascii="仿宋_GB2312" w:hAnsi="仿宋_GB2312" w:eastAsia="仿宋_GB2312"/>
          <w:b w:val="0"/>
          <w:bCs w:val="0"/>
          <w:kern w:val="0"/>
          <w:sz w:val="32"/>
          <w:szCs w:val="32"/>
        </w:rPr>
        <w:t>获校级教学成果一等奖、二等奖各1项，省级教学成果奖培育项目2项</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国家一流本科课程培育1门，省一流本科课程培育5门</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浙江省高等院校计算机类优秀教学案例1项。</w:t>
      </w:r>
      <w:r>
        <w:rPr>
          <w:rFonts w:hint="eastAsia" w:ascii="仿宋_GB2312" w:hAnsi="仿宋_GB2312" w:eastAsia="仿宋_GB2312"/>
          <w:b/>
          <w:bCs/>
          <w:kern w:val="0"/>
          <w:sz w:val="32"/>
          <w:szCs w:val="32"/>
        </w:rPr>
        <w:t>学科竞赛成果丰硕，</w:t>
      </w:r>
      <w:r>
        <w:rPr>
          <w:rFonts w:hint="eastAsia" w:ascii="仿宋_GB2312" w:hAnsi="仿宋_GB2312" w:eastAsia="仿宋_GB2312"/>
          <w:b w:val="0"/>
          <w:bCs w:val="0"/>
          <w:kern w:val="0"/>
          <w:sz w:val="32"/>
          <w:szCs w:val="32"/>
          <w:lang w:val="en-US" w:eastAsia="zh-CN"/>
        </w:rPr>
        <w:t>获得</w:t>
      </w:r>
      <w:r>
        <w:rPr>
          <w:rFonts w:hint="eastAsia" w:ascii="仿宋_GB2312" w:hAnsi="仿宋_GB2312" w:eastAsia="仿宋_GB2312"/>
          <w:b w:val="0"/>
          <w:bCs w:val="0"/>
          <w:kern w:val="0"/>
          <w:sz w:val="32"/>
          <w:szCs w:val="32"/>
        </w:rPr>
        <w:t>A类学科竞赛</w:t>
      </w:r>
      <w:r>
        <w:rPr>
          <w:rFonts w:hint="eastAsia" w:ascii="仿宋_GB2312" w:hAnsi="仿宋_GB2312" w:eastAsia="仿宋_GB2312"/>
          <w:b w:val="0"/>
          <w:bCs w:val="0"/>
          <w:kern w:val="0"/>
          <w:sz w:val="32"/>
          <w:szCs w:val="32"/>
          <w:lang w:val="en-US" w:eastAsia="zh-CN"/>
        </w:rPr>
        <w:t>省级以上奖项</w:t>
      </w:r>
      <w:r>
        <w:rPr>
          <w:rFonts w:hint="eastAsia" w:ascii="仿宋_GB2312" w:hAnsi="仿宋_GB2312" w:eastAsia="仿宋_GB2312"/>
          <w:b w:val="0"/>
          <w:bCs w:val="0"/>
          <w:kern w:val="0"/>
          <w:sz w:val="32"/>
          <w:szCs w:val="32"/>
        </w:rPr>
        <w:t>50项，其中全国一等奖1项</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二等奖8项</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三等奖10项</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全国数学建模二等奖</w:t>
      </w:r>
      <w:r>
        <w:rPr>
          <w:rFonts w:hint="eastAsia" w:ascii="仿宋_GB2312" w:hAnsi="仿宋_GB2312" w:eastAsia="仿宋_GB2312"/>
          <w:b w:val="0"/>
          <w:bCs w:val="0"/>
          <w:kern w:val="0"/>
          <w:sz w:val="32"/>
          <w:szCs w:val="32"/>
          <w:lang w:val="en-US" w:eastAsia="zh-CN"/>
        </w:rPr>
        <w:t>实现学校历史性</w:t>
      </w:r>
      <w:r>
        <w:rPr>
          <w:rFonts w:hint="eastAsia" w:ascii="仿宋_GB2312" w:hAnsi="仿宋_GB2312" w:eastAsia="仿宋_GB2312"/>
          <w:b w:val="0"/>
          <w:bCs w:val="0"/>
          <w:kern w:val="0"/>
          <w:sz w:val="32"/>
          <w:szCs w:val="32"/>
        </w:rPr>
        <w:t>突破</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中国大学生服务外包创新创业大赛一等奖刷新学校在此项赛事中的历史纪录。</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rPr>
      </w:pPr>
      <w:r>
        <w:rPr>
          <w:rFonts w:hint="eastAsia" w:ascii="仿宋_GB2312" w:hAnsi="仿宋_GB2312" w:eastAsia="仿宋_GB2312"/>
          <w:b/>
          <w:bCs/>
          <w:kern w:val="0"/>
          <w:sz w:val="32"/>
          <w:szCs w:val="32"/>
          <w:lang w:val="en-US" w:eastAsia="zh-CN"/>
        </w:rPr>
        <w:t>4.持续</w:t>
      </w:r>
      <w:r>
        <w:rPr>
          <w:rFonts w:hint="eastAsia" w:ascii="仿宋_GB2312" w:hAnsi="仿宋_GB2312" w:eastAsia="仿宋_GB2312"/>
          <w:b/>
          <w:bCs/>
          <w:kern w:val="0"/>
          <w:sz w:val="32"/>
          <w:szCs w:val="32"/>
        </w:rPr>
        <w:t>强化实验平台建设。</w:t>
      </w:r>
      <w:r>
        <w:rPr>
          <w:rFonts w:hint="eastAsia" w:ascii="仿宋_GB2312" w:hAnsi="仿宋_GB2312" w:eastAsia="仿宋_GB2312"/>
          <w:b w:val="0"/>
          <w:bCs w:val="0"/>
          <w:kern w:val="0"/>
          <w:sz w:val="32"/>
          <w:szCs w:val="32"/>
        </w:rPr>
        <w:t>积极改善实验室基础条件，提高实验室教学水平</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完成《元宇宙与数智创新实验室建设项目》建设验收工作，项目总投入310万元。</w:t>
      </w:r>
      <w:r>
        <w:rPr>
          <w:rFonts w:hint="eastAsia" w:ascii="仿宋_GB2312" w:hAnsi="仿宋_GB2312" w:eastAsia="仿宋_GB2312"/>
          <w:b w:val="0"/>
          <w:bCs w:val="0"/>
          <w:kern w:val="0"/>
          <w:sz w:val="32"/>
          <w:szCs w:val="32"/>
          <w:lang w:val="en-US" w:eastAsia="zh-CN"/>
        </w:rPr>
        <w:t>扎实做好</w:t>
      </w:r>
      <w:r>
        <w:rPr>
          <w:rFonts w:hint="eastAsia" w:ascii="仿宋_GB2312" w:hAnsi="仿宋_GB2312" w:eastAsia="仿宋_GB2312"/>
          <w:b w:val="0"/>
          <w:bCs w:val="0"/>
          <w:kern w:val="0"/>
          <w:sz w:val="32"/>
          <w:szCs w:val="32"/>
        </w:rPr>
        <w:t>实验室安全工作，</w:t>
      </w:r>
      <w:r>
        <w:rPr>
          <w:rFonts w:hint="eastAsia" w:ascii="仿宋_GB2312" w:hAnsi="仿宋_GB2312" w:eastAsia="仿宋_GB2312"/>
          <w:b w:val="0"/>
          <w:bCs w:val="0"/>
          <w:kern w:val="0"/>
          <w:sz w:val="32"/>
          <w:szCs w:val="32"/>
          <w:lang w:val="en-US" w:eastAsia="zh-CN"/>
        </w:rPr>
        <w:t>获批</w:t>
      </w:r>
      <w:r>
        <w:rPr>
          <w:rFonts w:hint="eastAsia" w:ascii="仿宋_GB2312" w:hAnsi="仿宋_GB2312" w:eastAsia="仿宋_GB2312"/>
          <w:b w:val="0"/>
          <w:bCs w:val="0"/>
          <w:kern w:val="0"/>
          <w:sz w:val="32"/>
          <w:szCs w:val="32"/>
        </w:rPr>
        <w:t>计算机实验教学中心安全管理与智能化升级项目，改造升级教18B计算机专业实验中心门禁与监控系统。</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黑体" w:eastAsia="仿宋_GB2312" w:cs="Arial"/>
          <w:b w:val="0"/>
          <w:bCs w:val="0"/>
          <w:kern w:val="0"/>
          <w:sz w:val="32"/>
          <w:szCs w:val="32"/>
          <w:lang w:val="en-US" w:eastAsia="zh-CN" w:bidi="ar-SA"/>
        </w:rPr>
      </w:pPr>
      <w:r>
        <w:rPr>
          <w:rFonts w:hint="eastAsia" w:ascii="仿宋_GB2312" w:hAnsi="仿宋_GB2312" w:eastAsia="仿宋_GB2312"/>
          <w:b/>
          <w:bCs/>
          <w:kern w:val="0"/>
          <w:sz w:val="32"/>
          <w:szCs w:val="32"/>
          <w:lang w:val="en-US" w:eastAsia="zh-CN"/>
        </w:rPr>
        <w:t>5.</w:t>
      </w:r>
      <w:r>
        <w:rPr>
          <w:rFonts w:hint="eastAsia" w:ascii="仿宋_GB2312" w:hAnsi="仿宋_GB2312" w:eastAsia="仿宋_GB2312"/>
          <w:b/>
          <w:bCs/>
          <w:kern w:val="0"/>
          <w:sz w:val="32"/>
          <w:szCs w:val="32"/>
        </w:rPr>
        <w:t>全力</w:t>
      </w:r>
      <w:r>
        <w:rPr>
          <w:rFonts w:hint="eastAsia" w:ascii="仿宋_GB2312" w:hAnsi="仿宋_GB2312" w:eastAsia="仿宋_GB2312"/>
          <w:b/>
          <w:bCs/>
          <w:kern w:val="0"/>
          <w:sz w:val="32"/>
          <w:szCs w:val="32"/>
          <w:lang w:val="en-US" w:eastAsia="zh-CN"/>
        </w:rPr>
        <w:t>提升</w:t>
      </w:r>
      <w:r>
        <w:rPr>
          <w:rFonts w:hint="eastAsia" w:ascii="仿宋_GB2312" w:hAnsi="仿宋_GB2312" w:eastAsia="仿宋_GB2312"/>
          <w:b/>
          <w:bCs/>
          <w:kern w:val="0"/>
          <w:sz w:val="32"/>
          <w:szCs w:val="32"/>
        </w:rPr>
        <w:t>育人工作</w:t>
      </w:r>
      <w:r>
        <w:rPr>
          <w:rFonts w:hint="eastAsia" w:ascii="仿宋_GB2312" w:hAnsi="仿宋_GB2312" w:eastAsia="仿宋_GB2312"/>
          <w:b/>
          <w:bCs/>
          <w:kern w:val="0"/>
          <w:sz w:val="32"/>
          <w:szCs w:val="32"/>
          <w:lang w:val="en-US" w:eastAsia="zh-CN"/>
        </w:rPr>
        <w:t>实效</w:t>
      </w:r>
      <w:r>
        <w:rPr>
          <w:rFonts w:hint="eastAsia" w:ascii="仿宋_GB2312" w:hAnsi="仿宋_GB2312" w:eastAsia="仿宋_GB2312"/>
          <w:b/>
          <w:bCs/>
          <w:kern w:val="0"/>
          <w:sz w:val="32"/>
          <w:szCs w:val="32"/>
        </w:rPr>
        <w:t>。</w:t>
      </w:r>
      <w:r>
        <w:rPr>
          <w:rFonts w:hint="eastAsia" w:ascii="仿宋_GB2312" w:hAnsi="仿宋_GB2312" w:eastAsia="仿宋_GB2312"/>
          <w:b w:val="0"/>
          <w:bCs w:val="0"/>
          <w:kern w:val="0"/>
          <w:sz w:val="32"/>
          <w:szCs w:val="32"/>
          <w:lang w:val="en-US" w:eastAsia="zh-CN"/>
        </w:rPr>
        <w:t>建设</w:t>
      </w:r>
      <w:r>
        <w:rPr>
          <w:rFonts w:hint="eastAsia" w:ascii="仿宋_GB2312" w:hAnsi="仿宋_GB2312" w:eastAsia="仿宋_GB2312"/>
          <w:b w:val="0"/>
          <w:bCs w:val="0"/>
          <w:kern w:val="0"/>
          <w:sz w:val="32"/>
          <w:szCs w:val="32"/>
        </w:rPr>
        <w:t>“1024”数字节品牌，以竞赛促育人，以党建带团建，组织开展各类活动。实现就业帮扶覆盖</w:t>
      </w:r>
      <w:r>
        <w:rPr>
          <w:rFonts w:hint="eastAsia" w:ascii="仿宋_GB2312" w:hAnsi="仿宋_GB2312" w:eastAsia="仿宋_GB2312"/>
          <w:b w:val="0"/>
          <w:bCs w:val="0"/>
          <w:kern w:val="0"/>
          <w:sz w:val="32"/>
          <w:szCs w:val="32"/>
          <w:lang w:val="en-US" w:eastAsia="zh-CN"/>
        </w:rPr>
        <w:t>率</w:t>
      </w:r>
      <w:r>
        <w:rPr>
          <w:rFonts w:hint="eastAsia" w:ascii="仿宋_GB2312" w:hAnsi="仿宋_GB2312" w:eastAsia="仿宋_GB2312"/>
          <w:b w:val="0"/>
          <w:bCs w:val="0"/>
          <w:kern w:val="0"/>
          <w:sz w:val="32"/>
          <w:szCs w:val="32"/>
        </w:rPr>
        <w:t>100%，初次就业率实现93.23%，留丽率实现44.26%</w:t>
      </w:r>
      <w:r>
        <w:rPr>
          <w:rFonts w:hint="eastAsia" w:ascii="仿宋_GB2312" w:hAnsi="仿宋_GB2312" w:eastAsia="仿宋_GB2312"/>
          <w:b w:val="0"/>
          <w:bCs w:val="0"/>
          <w:kern w:val="0"/>
          <w:sz w:val="32"/>
          <w:szCs w:val="32"/>
          <w:lang w:eastAsia="zh-CN"/>
        </w:rPr>
        <w:t>，</w:t>
      </w:r>
      <w:r>
        <w:rPr>
          <w:rFonts w:hint="eastAsia" w:ascii="仿宋_GB2312" w:hAnsi="仿宋_GB2312" w:eastAsia="仿宋_GB2312"/>
          <w:b w:val="0"/>
          <w:bCs w:val="0"/>
          <w:kern w:val="0"/>
          <w:sz w:val="32"/>
          <w:szCs w:val="32"/>
        </w:rPr>
        <w:t>位居全校第二，入选西部专招</w:t>
      </w:r>
      <w:r>
        <w:rPr>
          <w:rFonts w:hint="eastAsia" w:ascii="仿宋_GB2312" w:hAnsi="仿宋_GB2312" w:eastAsia="仿宋_GB2312"/>
          <w:b w:val="0"/>
          <w:bCs w:val="0"/>
          <w:kern w:val="0"/>
          <w:sz w:val="32"/>
          <w:szCs w:val="32"/>
          <w:lang w:val="en-US" w:eastAsia="zh-CN"/>
        </w:rPr>
        <w:t>计划</w:t>
      </w:r>
      <w:r>
        <w:rPr>
          <w:rFonts w:hint="eastAsia" w:ascii="仿宋_GB2312" w:hAnsi="仿宋_GB2312" w:eastAsia="仿宋_GB2312"/>
          <w:b w:val="0"/>
          <w:bCs w:val="0"/>
          <w:kern w:val="0"/>
          <w:sz w:val="32"/>
          <w:szCs w:val="32"/>
        </w:rPr>
        <w:t>1人。</w:t>
      </w:r>
    </w:p>
    <w:p>
      <w:pPr>
        <w:pStyle w:val="2"/>
        <w:keepNext w:val="0"/>
        <w:keepLines w:val="0"/>
        <w:pageBreakBefore w:val="0"/>
        <w:widowControl w:val="0"/>
        <w:kinsoku/>
        <w:wordWrap/>
        <w:overflowPunct/>
        <w:topLinePunct w:val="0"/>
        <w:autoSpaceDE/>
        <w:autoSpaceDN/>
        <w:bidi w:val="0"/>
        <w:adjustRightInd/>
        <w:snapToGrid/>
        <w:spacing w:line="540" w:lineRule="exact"/>
        <w:ind w:left="0" w:leftChars="0" w:firstLine="643" w:firstLineChars="200"/>
        <w:jc w:val="both"/>
        <w:textAlignment w:val="auto"/>
        <w:rPr>
          <w:rFonts w:hint="default" w:ascii="仿宋" w:hAnsi="仿宋" w:eastAsia="仿宋" w:cs="仿宋"/>
          <w:kern w:val="0"/>
          <w:sz w:val="32"/>
          <w:szCs w:val="32"/>
          <w:lang w:val="en-US" w:eastAsia="zh-CN"/>
        </w:rPr>
      </w:pPr>
      <w:bookmarkStart w:id="4" w:name="OLE_LINK1"/>
      <w:r>
        <w:rPr>
          <w:rFonts w:hint="eastAsia" w:ascii="楷体" w:hAnsi="楷体" w:eastAsia="楷体"/>
          <w:b/>
          <w:sz w:val="32"/>
          <w:szCs w:val="32"/>
          <w:lang w:eastAsia="zh-CN" w:bidi="ar"/>
        </w:rPr>
        <w:t>（三）</w:t>
      </w:r>
      <w:r>
        <w:rPr>
          <w:rFonts w:hint="eastAsia" w:ascii="楷体" w:hAnsi="楷体" w:eastAsia="楷体"/>
          <w:b/>
          <w:sz w:val="32"/>
          <w:szCs w:val="32"/>
          <w:lang w:val="en-US" w:eastAsia="zh-CN" w:bidi="ar"/>
        </w:rPr>
        <w:t>明确定位，持续提升学科建设成效</w:t>
      </w:r>
    </w:p>
    <w:bookmarkEnd w:id="4"/>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1.持续推进一流学科建设。</w:t>
      </w:r>
      <w:r>
        <w:rPr>
          <w:rFonts w:hint="eastAsia" w:ascii="仿宋_GB2312" w:hAnsi="仿宋_GB2312" w:eastAsia="仿宋_GB2312"/>
          <w:b w:val="0"/>
          <w:bCs w:val="0"/>
          <w:kern w:val="0"/>
          <w:sz w:val="32"/>
          <w:szCs w:val="32"/>
          <w:lang w:val="en-US" w:eastAsia="zh-CN"/>
        </w:rPr>
        <w:t>获批浙江省一流学科（B类）1个（智能科学与技术学科），重点培育团队4个，培育项目3个，学科建设水平和核心竞争力不断提升。凝练学科特色，积极对接地方特色智慧平台、智能制造、云和木玩、数字经济等产业，推动学科建设与地方需求的深度融合，增强学科对地方社会经济发展的支撑能力。</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3.加大研究生培养力度。</w:t>
      </w:r>
      <w:r>
        <w:rPr>
          <w:rFonts w:hint="eastAsia" w:ascii="仿宋_GB2312" w:hAnsi="仿宋_GB2312" w:eastAsia="仿宋_GB2312"/>
          <w:b w:val="0"/>
          <w:bCs w:val="0"/>
          <w:kern w:val="0"/>
          <w:sz w:val="32"/>
          <w:szCs w:val="32"/>
          <w:lang w:val="en-US" w:eastAsia="zh-CN"/>
        </w:rPr>
        <w:t>强化联合培养研究生的思政教育、学业指导、心理健康辅导和安全管理。2024年，研究生获国家奖学金1人，获浙江省应用数学研究会优秀论文二等奖1项，国际学术会议墙报展示1人次，进一步提升了研究生的科研能力和综合素质。</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仿宋_GB2312" w:hAnsi="仿宋_GB2312" w:eastAsia="仿宋_GB2312"/>
          <w:b/>
          <w:bCs/>
          <w:kern w:val="0"/>
          <w:sz w:val="32"/>
          <w:szCs w:val="32"/>
          <w:lang w:val="en-US" w:eastAsia="zh-CN"/>
        </w:rPr>
        <w:t>4.对标准备硕士点申报。</w:t>
      </w:r>
      <w:r>
        <w:rPr>
          <w:rFonts w:hint="eastAsia" w:ascii="仿宋_GB2312" w:hAnsi="仿宋_GB2312" w:eastAsia="仿宋_GB2312"/>
          <w:b w:val="0"/>
          <w:bCs w:val="0"/>
          <w:kern w:val="0"/>
          <w:sz w:val="32"/>
          <w:szCs w:val="32"/>
          <w:lang w:val="en-US" w:eastAsia="zh-CN"/>
        </w:rPr>
        <w:t>对标学术型硕士点（智能科学与技术）、专业型硕士点（应用统计、电子信息）申报指标，加强科研平台建设，提升师资水平，优化培养方案，为硕士点申报打基础、强内涵。</w:t>
      </w:r>
    </w:p>
    <w:p>
      <w:pPr>
        <w:keepNext w:val="0"/>
        <w:keepLines w:val="0"/>
        <w:pageBreakBefore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（四）交叉融合，稳步提升科研水平和社会服务能力</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1.加强项目申报和平台建设。</w:t>
      </w:r>
      <w:r>
        <w:rPr>
          <w:rFonts w:hint="eastAsia" w:ascii="仿宋_GB2312" w:hAnsi="仿宋_GB2312" w:eastAsia="仿宋_GB2312"/>
          <w:b w:val="0"/>
          <w:bCs w:val="0"/>
          <w:kern w:val="0"/>
          <w:sz w:val="32"/>
          <w:szCs w:val="32"/>
          <w:lang w:val="en-US" w:eastAsia="zh-CN"/>
        </w:rPr>
        <w:t>获批国家自然科学基金项目1项、省自然科学基金重点项目1项、省社科类课题1项。获批市级科研平台1个（丽水市无人机及低空数字化产业创新联合体）。持续推进“1355”科研培育计划，培育高水平科研平台1个，培育高层次人才项目2项。</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2.积极推进科研交叉融合。</w:t>
      </w:r>
      <w:r>
        <w:rPr>
          <w:rFonts w:hint="eastAsia" w:ascii="仿宋_GB2312" w:hAnsi="仿宋_GB2312" w:eastAsia="仿宋_GB2312"/>
          <w:b w:val="0"/>
          <w:bCs w:val="0"/>
          <w:kern w:val="0"/>
          <w:sz w:val="32"/>
          <w:szCs w:val="32"/>
          <w:lang w:val="en-US" w:eastAsia="zh-CN"/>
        </w:rPr>
        <w:t>动画作品《牡丹亭》入围2024年金鸡百花电影节第五届金鸡手机电影计划。立项省部级新型智库课题1项：《关于解决山区26县耕地撂荒问题的建议》。组织科研骨干支持工学院申报浙江省工程研究中心。</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3.大力提升教师科研能力。</w:t>
      </w:r>
      <w:r>
        <w:rPr>
          <w:rFonts w:hint="eastAsia" w:ascii="仿宋_GB2312" w:hAnsi="仿宋_GB2312" w:eastAsia="仿宋_GB2312"/>
          <w:b w:val="0"/>
          <w:bCs w:val="0"/>
          <w:kern w:val="0"/>
          <w:sz w:val="32"/>
          <w:szCs w:val="32"/>
          <w:lang w:val="en-US" w:eastAsia="zh-CN"/>
        </w:rPr>
        <w:t>开展“暑期大走访大调研大服务大解题”活动，深入走访企事业单位20多家。举办学术讲座、科研沙龙20多场。开展国家基金、省基金等申报讲座、研讨、咨询评审等20多次。</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4.不断提高社会服务水平。</w:t>
      </w:r>
      <w:r>
        <w:rPr>
          <w:rFonts w:hint="eastAsia" w:ascii="仿宋_GB2312" w:hAnsi="仿宋_GB2312" w:eastAsia="仿宋_GB2312"/>
          <w:b w:val="0"/>
          <w:bCs w:val="0"/>
          <w:kern w:val="0"/>
          <w:sz w:val="32"/>
          <w:szCs w:val="32"/>
          <w:lang w:val="en-US" w:eastAsia="zh-CN"/>
        </w:rPr>
        <w:t>与市公安局筹建“警务大数据创新应用研究院”，与青田县政府合作推动“元宇宙”产业发展，与浙江金尔泰玩具、沃沃阀门、点创科技等企业签订合作协议。建设服务丽水可视化平台项目8项，服务无人机应用行业，在华东地区建设规模化低空飞行服务网，累计覆盖2000平方公里、飞行超6000小时、里程达12000公里，本院教师服务地方企业事迹被</w:t>
      </w:r>
      <w:r>
        <w:rPr>
          <w:rFonts w:hint="eastAsia" w:ascii="仿宋_GB2312" w:hAnsi="仿宋_GB2312" w:eastAsia="仿宋_GB2312"/>
          <w:b w:val="0"/>
          <w:bCs w:val="0"/>
          <w:kern w:val="0"/>
          <w:sz w:val="32"/>
          <w:szCs w:val="32"/>
          <w:highlight w:val="none"/>
          <w:lang w:val="en-US" w:eastAsia="zh-CN"/>
        </w:rPr>
        <w:t>中央电视台科教频道“创新进行时”栏目专</w:t>
      </w:r>
      <w:r>
        <w:rPr>
          <w:rFonts w:hint="eastAsia" w:ascii="仿宋_GB2312" w:hAnsi="仿宋_GB2312" w:eastAsia="仿宋_GB2312"/>
          <w:b w:val="0"/>
          <w:bCs w:val="0"/>
          <w:kern w:val="0"/>
          <w:sz w:val="32"/>
          <w:szCs w:val="32"/>
          <w:lang w:val="en-US" w:eastAsia="zh-CN"/>
        </w:rPr>
        <w:t>题报道。研发AI算法数十种，在公安、消防、应急、林业、农业等领域成功发现处置社会治理事件1000多起，显著提升政府部门社会治理和应急响应水平。</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lang w:eastAsia="zh-CN"/>
        </w:rPr>
        <w:t>（五）创新模式</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eastAsia="zh-CN"/>
        </w:rPr>
        <w:t>全力助推引才工作取得新突破</w:t>
      </w:r>
      <w:r>
        <w:rPr>
          <w:rFonts w:hint="eastAsia" w:ascii="方正仿宋_GB2312" w:hAnsi="方正仿宋_GB2312" w:eastAsia="方正仿宋_GB2312" w:cs="方正仿宋_GB2312"/>
          <w:b/>
          <w:bCs/>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1.成功引进学校首个PI团队。</w:t>
      </w:r>
      <w:r>
        <w:rPr>
          <w:rFonts w:hint="eastAsia" w:ascii="仿宋_GB2312" w:hAnsi="仿宋_GB2312" w:eastAsia="仿宋_GB2312"/>
          <w:b w:val="0"/>
          <w:bCs w:val="0"/>
          <w:kern w:val="0"/>
          <w:sz w:val="32"/>
          <w:szCs w:val="32"/>
          <w:lang w:val="en-US" w:eastAsia="zh-CN"/>
        </w:rPr>
        <w:t>聚焦一流学科专业建设，引进</w:t>
      </w:r>
      <w:r>
        <w:rPr>
          <w:rFonts w:hint="eastAsia" w:ascii="仿宋_GB2312" w:hAnsi="仿宋_GB2312" w:eastAsia="仿宋_GB2312"/>
          <w:b w:val="0"/>
          <w:bCs w:val="0"/>
          <w:kern w:val="0"/>
          <w:sz w:val="32"/>
          <w:szCs w:val="32"/>
          <w:highlight w:val="none"/>
          <w:lang w:val="en-US" w:eastAsia="zh-CN"/>
        </w:rPr>
        <w:t>“视觉智能计算”PI</w:t>
      </w:r>
      <w:r>
        <w:rPr>
          <w:rFonts w:hint="eastAsia" w:ascii="仿宋_GB2312" w:hAnsi="仿宋_GB2312" w:eastAsia="仿宋_GB2312"/>
          <w:b w:val="0"/>
          <w:bCs w:val="0"/>
          <w:kern w:val="0"/>
          <w:sz w:val="32"/>
          <w:szCs w:val="32"/>
          <w:lang w:val="en-US" w:eastAsia="zh-CN"/>
        </w:rPr>
        <w:t>团队，</w:t>
      </w:r>
      <w:bookmarkStart w:id="5" w:name="OLE_LINK9"/>
      <w:r>
        <w:rPr>
          <w:rFonts w:hint="eastAsia" w:ascii="仿宋_GB2312" w:hAnsi="仿宋_GB2312" w:eastAsia="仿宋_GB2312"/>
          <w:b w:val="0"/>
          <w:bCs w:val="0"/>
          <w:kern w:val="0"/>
          <w:sz w:val="32"/>
          <w:szCs w:val="32"/>
          <w:lang w:val="en-US" w:eastAsia="zh-CN"/>
        </w:rPr>
        <w:t>含首席专家1人、“长江学者”特聘教授1人、博士骨干3人。此外，引进括苍特聘教授（B类）人才1人、E2类以上人才2人、雏燕学者1人，截止目前，D类以上人才引进完成率300%、综合完成率66.67%，均排名全校第一。</w:t>
      </w:r>
    </w:p>
    <w:bookmarkEnd w:id="5"/>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bookmarkStart w:id="6" w:name="OLE_LINK4"/>
      <w:r>
        <w:rPr>
          <w:rFonts w:hint="eastAsia" w:ascii="仿宋_GB2312" w:hAnsi="仿宋_GB2312" w:eastAsia="仿宋_GB2312"/>
          <w:b/>
          <w:bCs/>
          <w:kern w:val="0"/>
          <w:sz w:val="32"/>
          <w:szCs w:val="32"/>
          <w:lang w:val="en-US" w:eastAsia="zh-CN"/>
        </w:rPr>
        <w:t>2.积极推进人才“双聘”工作。</w:t>
      </w:r>
      <w:bookmarkEnd w:id="6"/>
      <w:r>
        <w:rPr>
          <w:rFonts w:hint="eastAsia" w:ascii="仿宋_GB2312" w:hAnsi="仿宋_GB2312" w:eastAsia="仿宋_GB2312"/>
          <w:b w:val="0"/>
          <w:bCs w:val="0"/>
          <w:kern w:val="0"/>
          <w:sz w:val="32"/>
          <w:szCs w:val="32"/>
          <w:lang w:val="en-US" w:eastAsia="zh-CN"/>
        </w:rPr>
        <w:t>大力推进与地方“共享双聘”专家引进模式，与浙江省高技能领军人才、浙江金尔泰玩具有限公司总经理游小卫和省重点青年人才计划人才、丽水博远科技有限公司董事长罗彬签订聘任协议。</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b w:val="0"/>
          <w:bCs w:val="0"/>
          <w:kern w:val="0"/>
          <w:sz w:val="32"/>
          <w:szCs w:val="32"/>
          <w:lang w:val="en-US" w:eastAsia="zh-CN"/>
        </w:rPr>
      </w:pPr>
      <w:r>
        <w:rPr>
          <w:rFonts w:hint="eastAsia" w:ascii="仿宋_GB2312" w:hAnsi="仿宋_GB2312" w:eastAsia="仿宋_GB2312"/>
          <w:b/>
          <w:bCs/>
          <w:kern w:val="0"/>
          <w:sz w:val="32"/>
          <w:szCs w:val="32"/>
          <w:lang w:val="en-US" w:eastAsia="zh-CN"/>
        </w:rPr>
        <w:t>3.不断加大教师培养力度。</w:t>
      </w:r>
      <w:r>
        <w:rPr>
          <w:rFonts w:hint="eastAsia" w:ascii="仿宋_GB2312" w:hAnsi="仿宋_GB2312" w:eastAsia="仿宋_GB2312"/>
          <w:b w:val="0"/>
          <w:bCs w:val="0"/>
          <w:kern w:val="0"/>
          <w:sz w:val="32"/>
          <w:szCs w:val="32"/>
          <w:lang w:val="en-US" w:eastAsia="zh-CN"/>
        </w:rPr>
        <w:t>加强骨干教师培养，强化全体教师培训，鼓励教师到政府部门挂职锻炼、赴国内外高校访学进修，不断提升学历层次和教学科研能力，本年度教师进修2人、攻读博士4人。</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kern w:val="2"/>
          <w:sz w:val="32"/>
          <w:szCs w:val="32"/>
          <w:highlight w:val="none"/>
          <w:lang w:val="en-US" w:eastAsia="zh-CN" w:bidi="ar-SA"/>
        </w:rPr>
      </w:pPr>
      <w:bookmarkStart w:id="7" w:name="OLE_LINK5"/>
      <w:bookmarkStart w:id="8" w:name="OLE_LINK6"/>
      <w:r>
        <w:rPr>
          <w:rFonts w:hint="eastAsia" w:ascii="楷体" w:hAnsi="楷体" w:eastAsia="楷体" w:cs="楷体"/>
          <w:b/>
          <w:bCs/>
          <w:kern w:val="2"/>
          <w:sz w:val="32"/>
          <w:szCs w:val="32"/>
          <w:highlight w:val="none"/>
          <w:lang w:val="en-US" w:eastAsia="zh-CN" w:bidi="ar-SA"/>
        </w:rPr>
        <w:t>（六）开放办学，不断拓展对外合作交流</w:t>
      </w:r>
    </w:p>
    <w:bookmarkEnd w:id="7"/>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方正仿宋_GB2312" w:hAnsi="方正仿宋_GB2312" w:eastAsia="方正仿宋_GB2312" w:cs="方正仿宋_GB2312"/>
          <w:b w:val="0"/>
          <w:bCs/>
          <w:kern w:val="0"/>
          <w:sz w:val="32"/>
          <w:szCs w:val="32"/>
          <w:lang w:val="en-US" w:eastAsia="zh-CN" w:bidi="ar-SA"/>
        </w:rPr>
      </w:pPr>
      <w:r>
        <w:rPr>
          <w:rFonts w:hint="eastAsia" w:ascii="方正仿宋_GB2312" w:hAnsi="方正仿宋_GB2312" w:eastAsia="方正仿宋_GB2312" w:cs="方正仿宋_GB2312"/>
          <w:b/>
          <w:kern w:val="0"/>
          <w:sz w:val="32"/>
          <w:szCs w:val="32"/>
          <w:lang w:val="en-US" w:eastAsia="zh-CN" w:bidi="ar-SA"/>
        </w:rPr>
        <w:t>1.承办高规格国际学术活动。</w:t>
      </w:r>
      <w:r>
        <w:rPr>
          <w:rFonts w:hint="eastAsia" w:ascii="方正仿宋_GB2312" w:hAnsi="方正仿宋_GB2312" w:eastAsia="方正仿宋_GB2312" w:cs="方正仿宋_GB2312"/>
          <w:b w:val="0"/>
          <w:bCs/>
          <w:kern w:val="0"/>
          <w:sz w:val="32"/>
          <w:szCs w:val="32"/>
          <w:lang w:val="en-US" w:eastAsia="zh-CN" w:bidi="ar-SA"/>
        </w:rPr>
        <w:t>承办第十届非线性数学物理国际会议暨全国第十七届孤立子与可积系统学术研讨会，500多名国内外专家学者参与，是学校有史以来规模最大的国际学术会议。邀请外籍专家来校学术讲座16人次，邀请法国图尔大学大数据专家Dominique H. Li教授开展师资培训。</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方正仿宋_GB2312" w:hAnsi="方正仿宋_GB2312" w:eastAsia="方正仿宋_GB2312" w:cs="方正仿宋_GB2312"/>
          <w:b w:val="0"/>
          <w:bCs/>
          <w:kern w:val="0"/>
          <w:sz w:val="32"/>
          <w:szCs w:val="32"/>
          <w:lang w:val="en-US" w:eastAsia="zh-CN" w:bidi="ar-SA"/>
        </w:rPr>
      </w:pPr>
      <w:r>
        <w:rPr>
          <w:rFonts w:hint="eastAsia" w:ascii="方正仿宋_GB2312" w:hAnsi="方正仿宋_GB2312" w:eastAsia="方正仿宋_GB2312" w:cs="方正仿宋_GB2312"/>
          <w:b/>
          <w:kern w:val="0"/>
          <w:sz w:val="32"/>
          <w:szCs w:val="32"/>
          <w:lang w:val="en-US" w:eastAsia="zh-CN" w:bidi="ar-SA"/>
        </w:rPr>
        <w:t>2.推进留学生教育与实践。</w:t>
      </w:r>
      <w:r>
        <w:rPr>
          <w:rFonts w:hint="eastAsia" w:ascii="方正仿宋_GB2312" w:hAnsi="方正仿宋_GB2312" w:eastAsia="方正仿宋_GB2312" w:cs="方正仿宋_GB2312"/>
          <w:b w:val="0"/>
          <w:bCs/>
          <w:kern w:val="0"/>
          <w:sz w:val="32"/>
          <w:szCs w:val="32"/>
          <w:lang w:val="en-US" w:eastAsia="zh-CN" w:bidi="ar-SA"/>
        </w:rPr>
        <w:t>与国际交流合作处紧密合作，为留学生提供良好教育环境，制定个性化的学习计划，促进留学生全面发展，鼓励留学生参与社会实践活动，推动文化交流融合。</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eastAsia" w:ascii="方正仿宋_GB2312" w:hAnsi="方正仿宋_GB2312" w:eastAsia="方正仿宋_GB2312" w:cs="方正仿宋_GB2312"/>
          <w:b w:val="0"/>
          <w:bCs/>
          <w:kern w:val="0"/>
          <w:sz w:val="32"/>
          <w:szCs w:val="32"/>
          <w:lang w:val="en-US" w:eastAsia="zh-CN" w:bidi="ar-SA"/>
        </w:rPr>
      </w:pPr>
      <w:r>
        <w:rPr>
          <w:rFonts w:hint="eastAsia" w:ascii="方正仿宋_GB2312" w:hAnsi="方正仿宋_GB2312" w:eastAsia="方正仿宋_GB2312" w:cs="方正仿宋_GB2312"/>
          <w:b/>
          <w:kern w:val="0"/>
          <w:sz w:val="32"/>
          <w:szCs w:val="32"/>
          <w:lang w:val="en-US" w:eastAsia="zh-CN" w:bidi="ar-SA"/>
        </w:rPr>
        <w:t>3.开展多样化国际学术交流。</w:t>
      </w:r>
      <w:r>
        <w:rPr>
          <w:rFonts w:hint="eastAsia" w:ascii="方正仿宋_GB2312" w:hAnsi="方正仿宋_GB2312" w:eastAsia="方正仿宋_GB2312" w:cs="方正仿宋_GB2312"/>
          <w:b w:val="0"/>
          <w:bCs/>
          <w:kern w:val="0"/>
          <w:sz w:val="32"/>
          <w:szCs w:val="32"/>
          <w:lang w:val="en-US" w:eastAsia="zh-CN" w:bidi="ar-SA"/>
        </w:rPr>
        <w:t>教师赴意大利、德国、新加坡、香港等地参加国际学术交流5人次，在国际学术会议上发表学术报告4人次。</w:t>
      </w:r>
      <w:bookmarkEnd w:id="8"/>
    </w:p>
    <w:sectPr>
      <w:footerReference r:id="rId3" w:type="default"/>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09B21BEE-6659-469F-A9EF-82C19394C7A3}"/>
  </w:font>
  <w:font w:name="楷体">
    <w:panose1 w:val="02010609060101010101"/>
    <w:charset w:val="86"/>
    <w:family w:val="modern"/>
    <w:pitch w:val="default"/>
    <w:sig w:usb0="800002BF" w:usb1="38CF7CFA" w:usb2="00000016" w:usb3="00000000" w:csb0="00040001" w:csb1="00000000"/>
    <w:embedRegular r:id="rId2" w:fontKey="{299B5734-68F7-409D-A3CE-40F96985649A}"/>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A3CA9E9-684B-4FAA-9165-9498A029C5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yMDQyNGJlYzc3ZWY1NzllNWZmMjY4YzU5NGNhOWEifQ=="/>
  </w:docVars>
  <w:rsids>
    <w:rsidRoot w:val="0E630D5B"/>
    <w:rsid w:val="001A52EC"/>
    <w:rsid w:val="01A219D3"/>
    <w:rsid w:val="03555C8C"/>
    <w:rsid w:val="070E49CA"/>
    <w:rsid w:val="0BFB252E"/>
    <w:rsid w:val="0E630D5B"/>
    <w:rsid w:val="144347E0"/>
    <w:rsid w:val="1956109E"/>
    <w:rsid w:val="1FF36848"/>
    <w:rsid w:val="20EE4083"/>
    <w:rsid w:val="3192074B"/>
    <w:rsid w:val="32541864"/>
    <w:rsid w:val="429C71DD"/>
    <w:rsid w:val="45B872F1"/>
    <w:rsid w:val="46941192"/>
    <w:rsid w:val="49F72A1A"/>
    <w:rsid w:val="4D84494D"/>
    <w:rsid w:val="5DB12BCF"/>
    <w:rsid w:val="623065F6"/>
    <w:rsid w:val="63C441AF"/>
    <w:rsid w:val="6A5C120E"/>
    <w:rsid w:val="77825244"/>
    <w:rsid w:val="78164A54"/>
    <w:rsid w:val="7AC01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annotation text"/>
    <w:basedOn w:val="1"/>
    <w:semiHidden/>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5423</Words>
  <Characters>5660</Characters>
  <Lines>0</Lines>
  <Paragraphs>0</Paragraphs>
  <TotalTime>3</TotalTime>
  <ScaleCrop>false</ScaleCrop>
  <LinksUpToDate>false</LinksUpToDate>
  <CharactersWithSpaces>5664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2024-12-09T06:07:00Z</dcterms:created>
  <dc:creator>飘</dc:creator>
  <cp:lastModifiedBy>飘</cp:lastModifiedBy>
  <cp:lastPrinted>2024-12-19T02:51:00Z</cp:lastPrinted>
  <dcterms:modified xsi:type="dcterms:W3CDTF">2025-01-06T23:36:00Z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90342DF8BF2C4E42B96973B727808B8A_11</vt:lpwstr>
  </property>
</Properties>
</file>